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CBF7" w14:textId="42A0B21C" w:rsidR="00E62366" w:rsidRDefault="00E62366">
      <w:pPr>
        <w:rPr>
          <w:rFonts w:ascii="Tahoma" w:hAnsi="Tahoma" w:cs="Tahoma"/>
          <w:b/>
        </w:rPr>
      </w:pPr>
      <w:r>
        <w:rPr>
          <w:rFonts w:ascii="Helvetica" w:hAnsi="Helvetica" w:cs="Helvetica"/>
          <w:noProof/>
          <w:sz w:val="24"/>
          <w:szCs w:val="24"/>
          <w:lang w:eastAsia="de-DE"/>
        </w:rPr>
        <w:drawing>
          <wp:inline distT="0" distB="0" distL="0" distR="0" wp14:anchorId="2096B1A6" wp14:editId="2C6151A7">
            <wp:extent cx="999241" cy="125427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99943" cy="1255152"/>
                    </a:xfrm>
                    <a:prstGeom prst="rect">
                      <a:avLst/>
                    </a:prstGeom>
                    <a:noFill/>
                    <a:ln>
                      <a:noFill/>
                    </a:ln>
                  </pic:spPr>
                </pic:pic>
              </a:graphicData>
            </a:graphic>
          </wp:inline>
        </w:drawing>
      </w:r>
    </w:p>
    <w:p w14:paraId="50379326" w14:textId="5C4BAD34" w:rsidR="0065758D" w:rsidRDefault="006D5426">
      <w:pPr>
        <w:rPr>
          <w:rFonts w:ascii="Tahoma" w:hAnsi="Tahoma" w:cs="Tahoma"/>
          <w:b/>
        </w:rPr>
      </w:pPr>
      <w:r w:rsidRPr="006D5426">
        <w:rPr>
          <w:rFonts w:ascii="Tahoma" w:hAnsi="Tahoma" w:cs="Tahoma"/>
          <w:b/>
        </w:rPr>
        <w:t xml:space="preserve">Einnahmeanleitung </w:t>
      </w:r>
      <w:r w:rsidR="00F97A82">
        <w:rPr>
          <w:rFonts w:ascii="Tahoma" w:hAnsi="Tahoma" w:cs="Tahoma"/>
          <w:b/>
        </w:rPr>
        <w:t>homöopathischer Arzneien</w:t>
      </w:r>
    </w:p>
    <w:p w14:paraId="7F14FBA2" w14:textId="77777777" w:rsidR="00F97A82" w:rsidRPr="00FF796A" w:rsidRDefault="00F97A82" w:rsidP="00F97A82">
      <w:pPr>
        <w:spacing w:before="100" w:beforeAutospacing="1" w:after="100" w:afterAutospacing="1" w:line="240" w:lineRule="auto"/>
        <w:rPr>
          <w:rFonts w:ascii="Tahoma" w:eastAsia="Times New Roman" w:hAnsi="Tahoma" w:cs="Tahoma"/>
          <w:sz w:val="20"/>
          <w:szCs w:val="20"/>
          <w:lang w:eastAsia="de-DE"/>
        </w:rPr>
      </w:pPr>
      <w:r w:rsidRPr="00FF796A">
        <w:rPr>
          <w:rFonts w:ascii="Tahoma" w:eastAsia="Times New Roman" w:hAnsi="Tahoma" w:cs="Tahoma"/>
          <w:sz w:val="20"/>
          <w:szCs w:val="20"/>
          <w:lang w:eastAsia="de-DE"/>
        </w:rPr>
        <w:t xml:space="preserve">Sie haben von mir eine homöopathische Arznei verschrieben bekommen. Globuli werden möglichst unter die Zunge gelegt und im Mund zergehen gelassen. Da die Aufnahme in den Organismus über die Mundschleimhäute erfolgt, sollte ein mindestens 10 minütiger Abstand vor und nach Mitteleinnahme zum Essen bestehen. Wasser trinken ist natürlich erlaubt. </w:t>
      </w:r>
    </w:p>
    <w:p w14:paraId="63066618" w14:textId="77777777" w:rsidR="00F97A82" w:rsidRPr="00FF796A" w:rsidRDefault="00F97A82" w:rsidP="00F97A82">
      <w:pPr>
        <w:spacing w:before="100" w:beforeAutospacing="1" w:after="100" w:afterAutospacing="1" w:line="240" w:lineRule="auto"/>
        <w:rPr>
          <w:rFonts w:ascii="Tahoma" w:eastAsia="Times New Roman" w:hAnsi="Tahoma" w:cs="Tahoma"/>
          <w:sz w:val="20"/>
          <w:szCs w:val="20"/>
          <w:lang w:eastAsia="de-DE"/>
        </w:rPr>
      </w:pPr>
      <w:r w:rsidRPr="00FF796A">
        <w:rPr>
          <w:rFonts w:ascii="Tahoma" w:eastAsia="Times New Roman" w:hAnsi="Tahoma" w:cs="Tahoma"/>
          <w:sz w:val="20"/>
          <w:szCs w:val="20"/>
          <w:lang w:eastAsia="de-DE"/>
        </w:rPr>
        <w:t xml:space="preserve">Sollte entschieden worden sein, die Arznei in Wasser aufzulösen, so geschieht dies bitte unter Verwendung von 4 cl (ca. 2 Schnapsgläsern) reinen Wassers (möglichst stilles Wasser wie </w:t>
      </w:r>
      <w:proofErr w:type="spellStart"/>
      <w:r w:rsidRPr="00FF796A">
        <w:rPr>
          <w:rFonts w:ascii="Tahoma" w:eastAsia="Times New Roman" w:hAnsi="Tahoma" w:cs="Tahoma"/>
          <w:sz w:val="20"/>
          <w:szCs w:val="20"/>
          <w:lang w:eastAsia="de-DE"/>
        </w:rPr>
        <w:t>Vitell</w:t>
      </w:r>
      <w:proofErr w:type="spellEnd"/>
      <w:r w:rsidRPr="00FF796A">
        <w:rPr>
          <w:rFonts w:ascii="Tahoma" w:eastAsia="Times New Roman" w:hAnsi="Tahoma" w:cs="Tahoma"/>
          <w:sz w:val="20"/>
          <w:szCs w:val="20"/>
          <w:lang w:eastAsia="de-DE"/>
        </w:rPr>
        <w:t xml:space="preserve"> oder </w:t>
      </w:r>
      <w:proofErr w:type="spellStart"/>
      <w:r w:rsidRPr="00FF796A">
        <w:rPr>
          <w:rFonts w:ascii="Tahoma" w:eastAsia="Times New Roman" w:hAnsi="Tahoma" w:cs="Tahoma"/>
          <w:sz w:val="20"/>
          <w:szCs w:val="20"/>
          <w:lang w:eastAsia="de-DE"/>
        </w:rPr>
        <w:t>Volvic</w:t>
      </w:r>
      <w:proofErr w:type="spellEnd"/>
      <w:r w:rsidRPr="00FF796A">
        <w:rPr>
          <w:rFonts w:ascii="Tahoma" w:eastAsia="Times New Roman" w:hAnsi="Tahoma" w:cs="Tahoma"/>
          <w:sz w:val="20"/>
          <w:szCs w:val="20"/>
          <w:lang w:eastAsia="de-DE"/>
        </w:rPr>
        <w:t xml:space="preserve">, Leitungswasser geht auch, ist aber häufig durch Blei oder Kupfer verunreinigt). Die Globuli werden in das Wasser gegeben und unter ständigem Rühren mit einem Plastiklöffel (!) aufgelöst. Um die Energie der Arznei immer weiter zu erhöhen und den Stimulus auf den Organismus jedes Mal zu verändern, wird vor der jeweiligen Einnahme bitte jeweils ein paar Mal umgerührt. </w:t>
      </w:r>
    </w:p>
    <w:p w14:paraId="74F138E5" w14:textId="31345146" w:rsidR="00F97A82" w:rsidRPr="00F97A82" w:rsidRDefault="00F97A82" w:rsidP="00F97A82">
      <w:p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Um die </w:t>
      </w:r>
      <w:r w:rsidRPr="00FF796A">
        <w:rPr>
          <w:rFonts w:ascii="Tahoma" w:eastAsia="Times New Roman" w:hAnsi="Tahoma" w:cs="Tahoma"/>
          <w:sz w:val="20"/>
          <w:szCs w:val="20"/>
          <w:lang w:eastAsia="de-DE"/>
        </w:rPr>
        <w:t xml:space="preserve">generelle </w:t>
      </w:r>
      <w:r w:rsidRPr="00F97A82">
        <w:rPr>
          <w:rFonts w:ascii="Tahoma" w:eastAsia="Times New Roman" w:hAnsi="Tahoma" w:cs="Tahoma"/>
          <w:sz w:val="20"/>
          <w:szCs w:val="20"/>
          <w:lang w:eastAsia="de-DE"/>
        </w:rPr>
        <w:t>Wirkung homöopathischer</w:t>
      </w:r>
      <w:r w:rsidRPr="00FF796A">
        <w:rPr>
          <w:rFonts w:ascii="Tahoma" w:eastAsia="Times New Roman" w:hAnsi="Tahoma" w:cs="Tahoma"/>
          <w:sz w:val="20"/>
          <w:szCs w:val="20"/>
          <w:lang w:eastAsia="de-DE"/>
        </w:rPr>
        <w:t xml:space="preserve"> Mittel zu unterstützen, wird empfohlen</w:t>
      </w:r>
      <w:r w:rsidRPr="00F97A82">
        <w:rPr>
          <w:rFonts w:ascii="Tahoma" w:eastAsia="Times New Roman" w:hAnsi="Tahoma" w:cs="Tahoma"/>
          <w:sz w:val="20"/>
          <w:szCs w:val="20"/>
          <w:lang w:eastAsia="de-DE"/>
        </w:rPr>
        <w:t xml:space="preserve"> seine Lebensweise auf die homöopathische Behandlung einstellen. </w:t>
      </w:r>
      <w:proofErr w:type="gramStart"/>
      <w:r w:rsidRPr="00F97A82">
        <w:rPr>
          <w:rFonts w:ascii="Tahoma" w:eastAsia="Times New Roman" w:hAnsi="Tahoma" w:cs="Tahoma"/>
          <w:sz w:val="20"/>
          <w:szCs w:val="20"/>
          <w:lang w:eastAsia="de-DE"/>
        </w:rPr>
        <w:t>Dazu gehört die Beachtung einiger Regeln und das Weglassen mancher Genussmittel, denn</w:t>
      </w:r>
      <w:proofErr w:type="gramEnd"/>
      <w:r w:rsidRPr="00F97A82">
        <w:rPr>
          <w:rFonts w:ascii="Tahoma" w:eastAsia="Times New Roman" w:hAnsi="Tahoma" w:cs="Tahoma"/>
          <w:sz w:val="20"/>
          <w:szCs w:val="20"/>
          <w:lang w:eastAsia="de-DE"/>
        </w:rPr>
        <w:t xml:space="preserve"> viele solcher Mittel können die Wirkung der homöopathischen Mittel </w:t>
      </w:r>
      <w:r w:rsidRPr="00FF796A">
        <w:rPr>
          <w:rFonts w:ascii="Tahoma" w:eastAsia="Times New Roman" w:hAnsi="Tahoma" w:cs="Tahoma"/>
          <w:sz w:val="20"/>
          <w:szCs w:val="20"/>
          <w:lang w:eastAsia="de-DE"/>
        </w:rPr>
        <w:t xml:space="preserve">beeinflussen oder gar </w:t>
      </w:r>
      <w:r w:rsidRPr="00F97A82">
        <w:rPr>
          <w:rFonts w:ascii="Tahoma" w:eastAsia="Times New Roman" w:hAnsi="Tahoma" w:cs="Tahoma"/>
          <w:sz w:val="20"/>
          <w:szCs w:val="20"/>
          <w:lang w:eastAsia="de-DE"/>
        </w:rPr>
        <w:t xml:space="preserve">aufheben. </w:t>
      </w:r>
    </w:p>
    <w:p w14:paraId="65209277" w14:textId="77777777" w:rsidR="00F97A82" w:rsidRPr="00F97A82" w:rsidRDefault="00F97A82" w:rsidP="00F97A82">
      <w:pPr>
        <w:spacing w:before="100" w:beforeAutospacing="1" w:after="100" w:afterAutospacing="1" w:line="240" w:lineRule="auto"/>
        <w:outlineLvl w:val="2"/>
        <w:rPr>
          <w:rFonts w:ascii="Tahoma" w:eastAsia="Times New Roman" w:hAnsi="Tahoma" w:cs="Tahoma"/>
          <w:b/>
          <w:bCs/>
          <w:sz w:val="20"/>
          <w:szCs w:val="20"/>
          <w:lang w:eastAsia="de-DE"/>
        </w:rPr>
      </w:pPr>
      <w:r w:rsidRPr="00F97A82">
        <w:rPr>
          <w:rFonts w:ascii="Tahoma" w:eastAsia="Times New Roman" w:hAnsi="Tahoma" w:cs="Tahoma"/>
          <w:b/>
          <w:bCs/>
          <w:sz w:val="20"/>
          <w:szCs w:val="20"/>
          <w:lang w:eastAsia="de-DE"/>
        </w:rPr>
        <w:t>Schädliche Einflüsse meiden</w:t>
      </w:r>
    </w:p>
    <w:p w14:paraId="2D9FC103" w14:textId="77777777" w:rsidR="00F97A82" w:rsidRPr="00F97A82" w:rsidRDefault="00F97A82" w:rsidP="00F97A82">
      <w:pPr>
        <w:numPr>
          <w:ilvl w:val="0"/>
          <w:numId w:val="1"/>
        </w:numPr>
        <w:spacing w:before="100" w:beforeAutospacing="1" w:after="100" w:afterAutospacing="1" w:line="240" w:lineRule="auto"/>
        <w:rPr>
          <w:rFonts w:ascii="Tahoma" w:eastAsia="Times New Roman" w:hAnsi="Tahoma" w:cs="Tahoma"/>
          <w:sz w:val="20"/>
          <w:szCs w:val="20"/>
          <w:lang w:eastAsia="de-DE"/>
        </w:rPr>
      </w:pPr>
      <w:r w:rsidRPr="00FF796A">
        <w:rPr>
          <w:rFonts w:ascii="Tahoma" w:eastAsia="Times New Roman" w:hAnsi="Tahoma" w:cs="Tahoma"/>
          <w:sz w:val="20"/>
          <w:szCs w:val="20"/>
          <w:lang w:eastAsia="de-DE"/>
        </w:rPr>
        <w:t>Wenig bis keinen</w:t>
      </w:r>
      <w:r w:rsidRPr="00F97A82">
        <w:rPr>
          <w:rFonts w:ascii="Tahoma" w:eastAsia="Times New Roman" w:hAnsi="Tahoma" w:cs="Tahoma"/>
          <w:sz w:val="20"/>
          <w:szCs w:val="20"/>
          <w:lang w:eastAsia="de-DE"/>
        </w:rPr>
        <w:t xml:space="preserve"> Kaffee oder Tee trinken </w:t>
      </w:r>
    </w:p>
    <w:p w14:paraId="64BC6B80" w14:textId="77777777" w:rsidR="00F97A82" w:rsidRPr="00F97A82" w:rsidRDefault="00F97A82" w:rsidP="00F97A82">
      <w:pPr>
        <w:numPr>
          <w:ilvl w:val="0"/>
          <w:numId w:val="1"/>
        </w:numPr>
        <w:spacing w:before="100" w:beforeAutospacing="1" w:after="100" w:afterAutospacing="1" w:line="240" w:lineRule="auto"/>
        <w:rPr>
          <w:rFonts w:ascii="Tahoma" w:eastAsia="Times New Roman" w:hAnsi="Tahoma" w:cs="Tahoma"/>
          <w:sz w:val="20"/>
          <w:szCs w:val="20"/>
          <w:lang w:eastAsia="de-DE"/>
        </w:rPr>
      </w:pPr>
      <w:r w:rsidRPr="00FF796A">
        <w:rPr>
          <w:rFonts w:ascii="Tahoma" w:eastAsia="Times New Roman" w:hAnsi="Tahoma" w:cs="Tahoma"/>
          <w:sz w:val="20"/>
          <w:szCs w:val="20"/>
          <w:lang w:eastAsia="de-DE"/>
        </w:rPr>
        <w:t>Wenig bis keine</w:t>
      </w:r>
      <w:r w:rsidRPr="00F97A82">
        <w:rPr>
          <w:rFonts w:ascii="Tahoma" w:eastAsia="Times New Roman" w:hAnsi="Tahoma" w:cs="Tahoma"/>
          <w:sz w:val="20"/>
          <w:szCs w:val="20"/>
          <w:lang w:eastAsia="de-DE"/>
        </w:rPr>
        <w:t xml:space="preserve"> alkoholischen Getränke trinken </w:t>
      </w:r>
    </w:p>
    <w:p w14:paraId="2B74FE6B" w14:textId="77777777" w:rsidR="00F97A82" w:rsidRPr="00F97A82" w:rsidRDefault="00F97A82" w:rsidP="00F97A82">
      <w:pPr>
        <w:numPr>
          <w:ilvl w:val="0"/>
          <w:numId w:val="1"/>
        </w:numPr>
        <w:spacing w:before="100" w:beforeAutospacing="1" w:after="100" w:afterAutospacing="1" w:line="240" w:lineRule="auto"/>
        <w:rPr>
          <w:rFonts w:ascii="Tahoma" w:eastAsia="Times New Roman" w:hAnsi="Tahoma" w:cs="Tahoma"/>
          <w:sz w:val="20"/>
          <w:szCs w:val="20"/>
          <w:lang w:eastAsia="de-DE"/>
        </w:rPr>
      </w:pPr>
      <w:r w:rsidRPr="00FF796A">
        <w:rPr>
          <w:rFonts w:ascii="Tahoma" w:eastAsia="Times New Roman" w:hAnsi="Tahoma" w:cs="Tahoma"/>
          <w:sz w:val="20"/>
          <w:szCs w:val="20"/>
          <w:lang w:eastAsia="de-DE"/>
        </w:rPr>
        <w:t>Möglichst nicht</w:t>
      </w:r>
      <w:r w:rsidRPr="00F97A82">
        <w:rPr>
          <w:rFonts w:ascii="Tahoma" w:eastAsia="Times New Roman" w:hAnsi="Tahoma" w:cs="Tahoma"/>
          <w:sz w:val="20"/>
          <w:szCs w:val="20"/>
          <w:lang w:eastAsia="de-DE"/>
        </w:rPr>
        <w:t xml:space="preserve"> rauchen </w:t>
      </w:r>
    </w:p>
    <w:p w14:paraId="42511E72" w14:textId="77777777" w:rsidR="00F97A82" w:rsidRPr="00F97A82" w:rsidRDefault="00F97A82" w:rsidP="00F97A82">
      <w:pPr>
        <w:numPr>
          <w:ilvl w:val="0"/>
          <w:numId w:val="1"/>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Keine aufputschenden, beruhigenden oder anderweitig verändernde Substanzen einnehmen </w:t>
      </w:r>
    </w:p>
    <w:p w14:paraId="3D09D182" w14:textId="77777777" w:rsidR="00F97A82" w:rsidRPr="00F97A82" w:rsidRDefault="00F97A82" w:rsidP="00F97A82">
      <w:pPr>
        <w:numPr>
          <w:ilvl w:val="0"/>
          <w:numId w:val="1"/>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Keinen Kampfer, Menthol oder andere ätherische Öle verwenden </w:t>
      </w:r>
    </w:p>
    <w:p w14:paraId="61A483BB" w14:textId="4BAC293A" w:rsidR="00F97A82" w:rsidRPr="00E62366" w:rsidRDefault="00F97A82" w:rsidP="00E62366">
      <w:pPr>
        <w:numPr>
          <w:ilvl w:val="0"/>
          <w:numId w:val="1"/>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Keine Heilkräuter mit ätherischen Ölen verwenden </w:t>
      </w:r>
    </w:p>
    <w:p w14:paraId="7F5E7F50" w14:textId="77777777" w:rsidR="00F97A82" w:rsidRPr="00F97A82" w:rsidRDefault="00F97A82" w:rsidP="00F97A82">
      <w:pPr>
        <w:spacing w:after="0"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Wenn sie nicht unbedingt notwendig sind, sollte man auch einige ärztliche </w:t>
      </w:r>
      <w:proofErr w:type="spellStart"/>
      <w:r w:rsidRPr="00F97A82">
        <w:rPr>
          <w:rFonts w:ascii="Tahoma" w:eastAsia="Times New Roman" w:hAnsi="Tahoma" w:cs="Tahoma"/>
          <w:sz w:val="20"/>
          <w:szCs w:val="20"/>
          <w:lang w:eastAsia="de-DE"/>
        </w:rPr>
        <w:t>Massnahmen</w:t>
      </w:r>
      <w:proofErr w:type="spellEnd"/>
      <w:r w:rsidRPr="00F97A82">
        <w:rPr>
          <w:rFonts w:ascii="Tahoma" w:eastAsia="Times New Roman" w:hAnsi="Tahoma" w:cs="Tahoma"/>
          <w:sz w:val="20"/>
          <w:szCs w:val="20"/>
          <w:lang w:eastAsia="de-DE"/>
        </w:rPr>
        <w:t xml:space="preserve"> vermeiden, weil massive ärztliche Eingriffe die Wirkung homöopathischer Mittel aufheben können. </w:t>
      </w:r>
    </w:p>
    <w:p w14:paraId="67470CDB" w14:textId="77777777" w:rsidR="00F97A82" w:rsidRPr="00F97A82" w:rsidRDefault="00F97A82" w:rsidP="00F97A82">
      <w:pPr>
        <w:numPr>
          <w:ilvl w:val="0"/>
          <w:numId w:val="2"/>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Unnötige starke Medikamente möglichst meiden </w:t>
      </w:r>
    </w:p>
    <w:p w14:paraId="2BC523DF" w14:textId="77777777" w:rsidR="00F97A82" w:rsidRPr="00F97A82" w:rsidRDefault="00F97A82" w:rsidP="00F97A82">
      <w:pPr>
        <w:numPr>
          <w:ilvl w:val="0"/>
          <w:numId w:val="2"/>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Unnötige Operationen möglichst meiden </w:t>
      </w:r>
    </w:p>
    <w:p w14:paraId="44FDF495" w14:textId="77777777" w:rsidR="00F97A82" w:rsidRPr="00F97A82" w:rsidRDefault="00F97A82" w:rsidP="00F97A82">
      <w:pPr>
        <w:numPr>
          <w:ilvl w:val="0"/>
          <w:numId w:val="2"/>
        </w:num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sz w:val="20"/>
          <w:szCs w:val="20"/>
          <w:lang w:eastAsia="de-DE"/>
        </w:rPr>
        <w:t xml:space="preserve">Unnötige Zahnbehandlungen möglichst meiden </w:t>
      </w:r>
    </w:p>
    <w:tbl>
      <w:tblPr>
        <w:tblW w:w="4853" w:type="pct"/>
        <w:tblCellSpacing w:w="15" w:type="dxa"/>
        <w:shd w:val="clear" w:color="auto" w:fill="FFFBD9"/>
        <w:tblCellMar>
          <w:top w:w="75" w:type="dxa"/>
          <w:left w:w="75" w:type="dxa"/>
          <w:bottom w:w="75" w:type="dxa"/>
          <w:right w:w="75" w:type="dxa"/>
        </w:tblCellMar>
        <w:tblLook w:val="04A0" w:firstRow="1" w:lastRow="0" w:firstColumn="1" w:lastColumn="0" w:noHBand="0" w:noVBand="1"/>
      </w:tblPr>
      <w:tblGrid>
        <w:gridCol w:w="9009"/>
      </w:tblGrid>
      <w:tr w:rsidR="00F97A82" w:rsidRPr="00FF796A" w14:paraId="5ADEDBE6" w14:textId="77777777" w:rsidTr="00FF796A">
        <w:trPr>
          <w:trHeight w:val="1899"/>
          <w:tblCellSpacing w:w="15" w:type="dxa"/>
        </w:trPr>
        <w:tc>
          <w:tcPr>
            <w:tcW w:w="0" w:type="auto"/>
            <w:shd w:val="clear" w:color="auto" w:fill="FFFBD9"/>
            <w:vAlign w:val="center"/>
            <w:hideMark/>
          </w:tcPr>
          <w:p w14:paraId="5D9CD869" w14:textId="77777777" w:rsidR="00F97A82" w:rsidRPr="00F97A82" w:rsidRDefault="00F97A82" w:rsidP="00F97A82">
            <w:pPr>
              <w:spacing w:after="0" w:line="240" w:lineRule="auto"/>
              <w:rPr>
                <w:rFonts w:ascii="Tahoma" w:eastAsia="Times New Roman" w:hAnsi="Tahoma" w:cs="Tahoma"/>
                <w:sz w:val="20"/>
                <w:szCs w:val="20"/>
                <w:lang w:eastAsia="de-DE"/>
              </w:rPr>
            </w:pPr>
            <w:r w:rsidRPr="00F97A82">
              <w:rPr>
                <w:rFonts w:ascii="Tahoma" w:eastAsia="Times New Roman" w:hAnsi="Tahoma" w:cs="Tahoma"/>
                <w:b/>
                <w:bCs/>
                <w:sz w:val="20"/>
                <w:szCs w:val="20"/>
                <w:lang w:eastAsia="de-DE"/>
              </w:rPr>
              <w:t>Achtung!</w:t>
            </w:r>
            <w:r w:rsidRPr="00F97A82">
              <w:rPr>
                <w:rFonts w:ascii="Tahoma" w:eastAsia="Times New Roman" w:hAnsi="Tahoma" w:cs="Tahoma"/>
                <w:sz w:val="20"/>
                <w:szCs w:val="20"/>
                <w:lang w:eastAsia="de-DE"/>
              </w:rPr>
              <w:t xml:space="preserve"> </w:t>
            </w:r>
          </w:p>
          <w:p w14:paraId="65271DA4" w14:textId="77777777" w:rsidR="00F97A82" w:rsidRPr="00F97A82" w:rsidRDefault="00F97A82" w:rsidP="00F97A82">
            <w:pPr>
              <w:spacing w:before="100" w:beforeAutospacing="1" w:after="100" w:afterAutospacing="1" w:line="240" w:lineRule="auto"/>
              <w:rPr>
                <w:rFonts w:ascii="Tahoma" w:eastAsia="Times New Roman" w:hAnsi="Tahoma" w:cs="Tahoma"/>
                <w:sz w:val="20"/>
                <w:szCs w:val="20"/>
                <w:lang w:eastAsia="de-DE"/>
              </w:rPr>
            </w:pPr>
            <w:r w:rsidRPr="00F97A82">
              <w:rPr>
                <w:rFonts w:ascii="Tahoma" w:eastAsia="Times New Roman" w:hAnsi="Tahoma" w:cs="Tahoma"/>
                <w:b/>
                <w:bCs/>
                <w:sz w:val="20"/>
                <w:szCs w:val="20"/>
                <w:lang w:eastAsia="de-DE"/>
              </w:rPr>
              <w:t>In medizinischen Notfällen hat die lebensrettende ärztliche Behandlung jedoch unbedingten Vorrang!</w:t>
            </w:r>
            <w:r w:rsidRPr="00F97A82">
              <w:rPr>
                <w:rFonts w:ascii="Tahoma" w:eastAsia="Times New Roman" w:hAnsi="Tahoma" w:cs="Tahoma"/>
                <w:sz w:val="20"/>
                <w:szCs w:val="20"/>
                <w:lang w:eastAsia="de-DE"/>
              </w:rPr>
              <w:t xml:space="preserve"> </w:t>
            </w:r>
          </w:p>
          <w:p w14:paraId="28A91331" w14:textId="77777777" w:rsidR="00F97A82" w:rsidRPr="00FF796A" w:rsidRDefault="00F97A82" w:rsidP="00F97A82">
            <w:pPr>
              <w:spacing w:before="100" w:beforeAutospacing="1" w:after="100" w:afterAutospacing="1" w:line="240" w:lineRule="auto"/>
              <w:rPr>
                <w:rFonts w:ascii="Tahoma" w:eastAsia="Times New Roman" w:hAnsi="Tahoma" w:cs="Tahoma"/>
                <w:sz w:val="20"/>
                <w:szCs w:val="20"/>
                <w:lang w:eastAsia="de-DE"/>
              </w:rPr>
            </w:pPr>
          </w:p>
          <w:p w14:paraId="795206E1" w14:textId="77777777" w:rsidR="00F97A82" w:rsidRPr="00F97A82" w:rsidRDefault="00F97A82" w:rsidP="00F97A82">
            <w:pPr>
              <w:spacing w:before="100" w:beforeAutospacing="1" w:after="100" w:afterAutospacing="1" w:line="240" w:lineRule="auto"/>
              <w:rPr>
                <w:rFonts w:ascii="Tahoma" w:eastAsia="Times New Roman" w:hAnsi="Tahoma" w:cs="Tahoma"/>
                <w:sz w:val="20"/>
                <w:szCs w:val="20"/>
                <w:lang w:eastAsia="de-DE"/>
              </w:rPr>
            </w:pPr>
          </w:p>
        </w:tc>
        <w:bookmarkStart w:id="0" w:name="_GoBack"/>
        <w:bookmarkEnd w:id="0"/>
      </w:tr>
    </w:tbl>
    <w:p w14:paraId="46237007" w14:textId="77777777" w:rsidR="00FF796A" w:rsidRDefault="00FF796A" w:rsidP="00FF796A">
      <w:pPr>
        <w:rPr>
          <w:rFonts w:ascii="Tahoma" w:hAnsi="Tahoma" w:cs="Tahoma"/>
        </w:rPr>
      </w:pPr>
    </w:p>
    <w:p w14:paraId="588D9435" w14:textId="77777777" w:rsidR="00FF796A" w:rsidRPr="00FF796A" w:rsidRDefault="00FF796A" w:rsidP="00FF796A">
      <w:pPr>
        <w:rPr>
          <w:rFonts w:ascii="Tahoma" w:hAnsi="Tahoma" w:cs="Tahoma"/>
          <w:sz w:val="12"/>
          <w:szCs w:val="12"/>
        </w:rPr>
      </w:pPr>
      <w:r w:rsidRPr="00FF796A">
        <w:rPr>
          <w:rFonts w:ascii="Tahoma" w:hAnsi="Tahoma" w:cs="Tahoma"/>
          <w:sz w:val="12"/>
          <w:szCs w:val="12"/>
        </w:rPr>
        <w:t>Praxis für klassische Homöopathie</w:t>
      </w:r>
      <w:r w:rsidR="009A189B">
        <w:rPr>
          <w:rFonts w:ascii="Tahoma" w:hAnsi="Tahoma" w:cs="Tahoma"/>
          <w:sz w:val="12"/>
          <w:szCs w:val="12"/>
        </w:rPr>
        <w:t xml:space="preserve"> und Ernährungstherapie</w:t>
      </w:r>
      <w:r w:rsidRPr="00FF796A">
        <w:rPr>
          <w:rFonts w:ascii="Tahoma" w:hAnsi="Tahoma" w:cs="Tahoma"/>
          <w:sz w:val="12"/>
          <w:szCs w:val="12"/>
        </w:rPr>
        <w:t xml:space="preserve"> – Kerstin Lerchl Heilpraktikerin – </w:t>
      </w:r>
      <w:proofErr w:type="spellStart"/>
      <w:r w:rsidRPr="00FF796A">
        <w:rPr>
          <w:rFonts w:ascii="Tahoma" w:hAnsi="Tahoma" w:cs="Tahoma"/>
          <w:sz w:val="12"/>
          <w:szCs w:val="12"/>
        </w:rPr>
        <w:t>Föhringer</w:t>
      </w:r>
      <w:proofErr w:type="spellEnd"/>
      <w:r w:rsidRPr="00FF796A">
        <w:rPr>
          <w:rFonts w:ascii="Tahoma" w:hAnsi="Tahoma" w:cs="Tahoma"/>
          <w:sz w:val="12"/>
          <w:szCs w:val="12"/>
        </w:rPr>
        <w:t xml:space="preserve"> Allee 27 85 774 Unterföhring – Tel. 089 / 120 21 351 </w:t>
      </w:r>
      <w:hyperlink r:id="rId7" w:history="1">
        <w:r w:rsidR="006B7A61" w:rsidRPr="00050FA1">
          <w:rPr>
            <w:rStyle w:val="Link"/>
            <w:rFonts w:ascii="Tahoma" w:hAnsi="Tahoma" w:cs="Tahoma"/>
            <w:sz w:val="12"/>
            <w:szCs w:val="12"/>
          </w:rPr>
          <w:t>info@praxis-lerchl.de</w:t>
        </w:r>
      </w:hyperlink>
      <w:r w:rsidR="009A189B">
        <w:rPr>
          <w:rFonts w:ascii="Tahoma" w:hAnsi="Tahoma" w:cs="Tahoma"/>
          <w:sz w:val="12"/>
          <w:szCs w:val="12"/>
        </w:rPr>
        <w:t xml:space="preserve"> </w:t>
      </w:r>
      <w:r w:rsidR="006B7A61">
        <w:rPr>
          <w:rFonts w:ascii="Tahoma" w:hAnsi="Tahoma" w:cs="Tahoma"/>
          <w:sz w:val="12"/>
          <w:szCs w:val="12"/>
        </w:rPr>
        <w:t>www.praxis-lerchl.de</w:t>
      </w:r>
    </w:p>
    <w:sectPr w:rsidR="00FF796A" w:rsidRPr="00FF796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4006C"/>
    <w:multiLevelType w:val="multilevel"/>
    <w:tmpl w:val="D25C9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A095764"/>
    <w:multiLevelType w:val="multilevel"/>
    <w:tmpl w:val="D884D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6F2D12"/>
    <w:multiLevelType w:val="multilevel"/>
    <w:tmpl w:val="7010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426"/>
    <w:rsid w:val="0065758D"/>
    <w:rsid w:val="006B7A61"/>
    <w:rsid w:val="006D5426"/>
    <w:rsid w:val="007321F8"/>
    <w:rsid w:val="009A189B"/>
    <w:rsid w:val="00E62366"/>
    <w:rsid w:val="00F54E27"/>
    <w:rsid w:val="00F97A82"/>
    <w:rsid w:val="00FF79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29F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F97A82"/>
    <w:pPr>
      <w:spacing w:before="100" w:beforeAutospacing="1" w:after="100" w:afterAutospacing="1" w:line="240" w:lineRule="auto"/>
      <w:outlineLvl w:val="2"/>
    </w:pPr>
    <w:rPr>
      <w:rFonts w:ascii="Times New Roman" w:eastAsia="Times New Roman" w:hAnsi="Times New Roman" w:cs="Times New Roman"/>
      <w:b/>
      <w:bCs/>
      <w:color w:val="345F32"/>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F97A82"/>
    <w:rPr>
      <w:rFonts w:ascii="Times New Roman" w:eastAsia="Times New Roman" w:hAnsi="Times New Roman" w:cs="Times New Roman"/>
      <w:b/>
      <w:bCs/>
      <w:color w:val="345F32"/>
      <w:sz w:val="27"/>
      <w:szCs w:val="27"/>
      <w:lang w:eastAsia="de-DE"/>
    </w:rPr>
  </w:style>
  <w:style w:type="paragraph" w:styleId="StandardWeb">
    <w:name w:val="Normal (Web)"/>
    <w:basedOn w:val="Standard"/>
    <w:uiPriority w:val="99"/>
    <w:unhideWhenUsed/>
    <w:rsid w:val="00F97A82"/>
    <w:pPr>
      <w:spacing w:before="100" w:beforeAutospacing="1" w:after="100" w:afterAutospacing="1" w:line="240" w:lineRule="auto"/>
    </w:pPr>
    <w:rPr>
      <w:rFonts w:ascii="Times New Roman" w:eastAsia="Times New Roman" w:hAnsi="Times New Roman" w:cs="Times New Roman"/>
      <w:color w:val="345F32"/>
      <w:sz w:val="24"/>
      <w:szCs w:val="24"/>
      <w:lang w:eastAsia="de-DE"/>
    </w:rPr>
  </w:style>
  <w:style w:type="character" w:styleId="Link">
    <w:name w:val="Hyperlink"/>
    <w:basedOn w:val="Absatzstandardschriftart"/>
    <w:uiPriority w:val="99"/>
    <w:unhideWhenUsed/>
    <w:rsid w:val="006B7A61"/>
    <w:rPr>
      <w:color w:val="0000FF" w:themeColor="hyperlink"/>
      <w:u w:val="single"/>
    </w:rPr>
  </w:style>
  <w:style w:type="paragraph" w:styleId="Sprechblasentext">
    <w:name w:val="Balloon Text"/>
    <w:basedOn w:val="Standard"/>
    <w:link w:val="SprechblasentextZeichen"/>
    <w:uiPriority w:val="99"/>
    <w:semiHidden/>
    <w:unhideWhenUsed/>
    <w:rsid w:val="00E6236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6236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3">
    <w:name w:val="heading 3"/>
    <w:basedOn w:val="Standard"/>
    <w:link w:val="berschrift3Zeichen"/>
    <w:uiPriority w:val="9"/>
    <w:qFormat/>
    <w:rsid w:val="00F97A82"/>
    <w:pPr>
      <w:spacing w:before="100" w:beforeAutospacing="1" w:after="100" w:afterAutospacing="1" w:line="240" w:lineRule="auto"/>
      <w:outlineLvl w:val="2"/>
    </w:pPr>
    <w:rPr>
      <w:rFonts w:ascii="Times New Roman" w:eastAsia="Times New Roman" w:hAnsi="Times New Roman" w:cs="Times New Roman"/>
      <w:b/>
      <w:bCs/>
      <w:color w:val="345F32"/>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eichen">
    <w:name w:val="Überschrift 3 Zeichen"/>
    <w:basedOn w:val="Absatzstandardschriftart"/>
    <w:link w:val="berschrift3"/>
    <w:uiPriority w:val="9"/>
    <w:rsid w:val="00F97A82"/>
    <w:rPr>
      <w:rFonts w:ascii="Times New Roman" w:eastAsia="Times New Roman" w:hAnsi="Times New Roman" w:cs="Times New Roman"/>
      <w:b/>
      <w:bCs/>
      <w:color w:val="345F32"/>
      <w:sz w:val="27"/>
      <w:szCs w:val="27"/>
      <w:lang w:eastAsia="de-DE"/>
    </w:rPr>
  </w:style>
  <w:style w:type="paragraph" w:styleId="StandardWeb">
    <w:name w:val="Normal (Web)"/>
    <w:basedOn w:val="Standard"/>
    <w:uiPriority w:val="99"/>
    <w:unhideWhenUsed/>
    <w:rsid w:val="00F97A82"/>
    <w:pPr>
      <w:spacing w:before="100" w:beforeAutospacing="1" w:after="100" w:afterAutospacing="1" w:line="240" w:lineRule="auto"/>
    </w:pPr>
    <w:rPr>
      <w:rFonts w:ascii="Times New Roman" w:eastAsia="Times New Roman" w:hAnsi="Times New Roman" w:cs="Times New Roman"/>
      <w:color w:val="345F32"/>
      <w:sz w:val="24"/>
      <w:szCs w:val="24"/>
      <w:lang w:eastAsia="de-DE"/>
    </w:rPr>
  </w:style>
  <w:style w:type="character" w:styleId="Link">
    <w:name w:val="Hyperlink"/>
    <w:basedOn w:val="Absatzstandardschriftart"/>
    <w:uiPriority w:val="99"/>
    <w:unhideWhenUsed/>
    <w:rsid w:val="006B7A61"/>
    <w:rPr>
      <w:color w:val="0000FF" w:themeColor="hyperlink"/>
      <w:u w:val="single"/>
    </w:rPr>
  </w:style>
  <w:style w:type="paragraph" w:styleId="Sprechblasentext">
    <w:name w:val="Balloon Text"/>
    <w:basedOn w:val="Standard"/>
    <w:link w:val="SprechblasentextZeichen"/>
    <w:uiPriority w:val="99"/>
    <w:semiHidden/>
    <w:unhideWhenUsed/>
    <w:rsid w:val="00E6236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E6236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mailto:info@praxis-lerchl.de"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315</Words>
  <Characters>1987</Characters>
  <Application>Microsoft Macintosh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Lerchl</dc:creator>
  <cp:lastModifiedBy>Kerstin Lerchl</cp:lastModifiedBy>
  <cp:revision>2</cp:revision>
  <dcterms:created xsi:type="dcterms:W3CDTF">2016-06-03T09:59:00Z</dcterms:created>
  <dcterms:modified xsi:type="dcterms:W3CDTF">2016-06-03T09:59:00Z</dcterms:modified>
</cp:coreProperties>
</file>